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F74F3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F74F3" w:rsidRDefault="008F74F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F74F3" w:rsidRDefault="008F74F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F74F3" w:rsidRDefault="008F74F3" w:rsidP="00D87D3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55CFE" w:rsidRPr="00AF10F9" w:rsidRDefault="00C27598" w:rsidP="008F74F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FINANCIAL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 xml:space="preserve"> GUARANTEE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E2581C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Borrower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F74F3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4648EB" w:rsidRDefault="004648E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Banking Facilities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8F74F3">
        <w:rPr>
          <w:rFonts w:ascii="Arial" w:hAnsi="Arial" w:cs="Arial"/>
          <w:sz w:val="20"/>
          <w:szCs w:val="20"/>
          <w:lang w:val="en-US"/>
        </w:rPr>
        <w:t>ciary in terms of this document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nsert </w:t>
      </w:r>
      <w:r w:rsidR="00DF5B90">
        <w:rPr>
          <w:rFonts w:ascii="Arial" w:hAnsi="Arial" w:cs="Arial"/>
          <w:i/>
          <w:sz w:val="20"/>
          <w:szCs w:val="20"/>
          <w:highlight w:val="yellow"/>
          <w:lang w:val="en-US"/>
        </w:rPr>
        <w:t>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B0EC7" w:rsidRPr="00AF10F9" w:rsidRDefault="00FB0EC7" w:rsidP="00FB0EC7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856C6F">
        <w:rPr>
          <w:rFonts w:ascii="Arial" w:hAnsi="Arial" w:cs="Arial"/>
          <w:sz w:val="20"/>
          <w:szCs w:val="20"/>
          <w:lang w:val="en-US"/>
        </w:rPr>
        <w:t>The Standard Bank of South Africa Limited</w:t>
      </w:r>
      <w:r w:rsidR="00FA35A7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Pr="00856C6F">
        <w:rPr>
          <w:rFonts w:ascii="Arial" w:hAnsi="Arial" w:cs="Arial"/>
          <w:sz w:val="20"/>
          <w:szCs w:val="20"/>
          <w:lang w:val="en-US"/>
        </w:rPr>
        <w:t>(Registration Number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856C6F">
        <w:rPr>
          <w:rFonts w:ascii="Arial" w:hAnsi="Arial" w:cs="Arial"/>
          <w:sz w:val="20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FB0EC7" w:rsidRDefault="00FB0EC7" w:rsidP="00FB0EC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B0EC7" w:rsidRDefault="00FB0EC7" w:rsidP="00FB0E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FB0EC7" w:rsidRPr="002E6290" w:rsidRDefault="00FB0EC7" w:rsidP="00FB0EC7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9715B">
        <w:rPr>
          <w:rFonts w:ascii="Arial" w:hAnsi="Arial" w:cs="Arial"/>
          <w:sz w:val="20"/>
          <w:szCs w:val="20"/>
          <w:lang w:val="en-US"/>
        </w:rPr>
        <w:t>Trade Services, 1</w:t>
      </w:r>
      <w:r w:rsidRPr="0019715B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Floor, </w:t>
      </w:r>
      <w:r>
        <w:rPr>
          <w:rFonts w:ascii="Arial" w:hAnsi="Arial" w:cs="Arial"/>
          <w:sz w:val="20"/>
          <w:szCs w:val="20"/>
          <w:lang w:val="en-US"/>
        </w:rPr>
        <w:t>6 Simmonds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Street, Johannesburg or any other physical address notified to the Beneficiary in writing by the Bank</w:t>
      </w:r>
    </w:p>
    <w:p w:rsidR="00FB0EC7" w:rsidRPr="00AF10F9" w:rsidRDefault="00FB0EC7" w:rsidP="00FB0EC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606FB" w:rsidRPr="004648EB" w:rsidRDefault="00E2581C" w:rsidP="004648E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security </w:t>
      </w:r>
      <w:r w:rsidR="004648EB">
        <w:rPr>
          <w:rFonts w:ascii="Arial" w:hAnsi="Arial" w:cs="Arial"/>
          <w:sz w:val="20"/>
          <w:szCs w:val="20"/>
          <w:lang w:val="en-US"/>
        </w:rPr>
        <w:t>for Banking F</w:t>
      </w:r>
      <w:r>
        <w:rPr>
          <w:rFonts w:ascii="Arial" w:hAnsi="Arial" w:cs="Arial"/>
          <w:sz w:val="20"/>
          <w:szCs w:val="20"/>
          <w:lang w:val="en-US"/>
        </w:rPr>
        <w:t>acilities in the amount of up to (</w:t>
      </w:r>
      <w:r w:rsidRPr="00E2581C">
        <w:rPr>
          <w:rFonts w:ascii="Arial" w:hAnsi="Arial" w:cs="Arial"/>
          <w:i/>
          <w:sz w:val="20"/>
          <w:szCs w:val="20"/>
          <w:highlight w:val="yellow"/>
          <w:lang w:val="en-US"/>
        </w:rPr>
        <w:t>Insert banking facility amount</w:t>
      </w:r>
      <w:r w:rsidRPr="00E2581C">
        <w:rPr>
          <w:rFonts w:ascii="Arial" w:hAnsi="Arial" w:cs="Arial"/>
          <w:sz w:val="20"/>
          <w:szCs w:val="20"/>
          <w:highlight w:val="yellow"/>
          <w:lang w:val="en-US"/>
        </w:rPr>
        <w:t xml:space="preserve"> ___________________________</w:t>
      </w:r>
      <w:r>
        <w:rPr>
          <w:rFonts w:ascii="Arial" w:hAnsi="Arial" w:cs="Arial"/>
          <w:sz w:val="20"/>
          <w:szCs w:val="20"/>
          <w:lang w:val="en-US"/>
        </w:rPr>
        <w:t>) made up of (</w:t>
      </w:r>
      <w:r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insert the banking facility type</w:t>
      </w:r>
      <w:r w:rsidR="007B2D08"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(</w:t>
      </w:r>
      <w:r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s</w:t>
      </w:r>
      <w:r w:rsidR="007B2D08"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2581C">
        <w:rPr>
          <w:rFonts w:ascii="Arial" w:hAnsi="Arial" w:cs="Arial"/>
          <w:sz w:val="20"/>
          <w:szCs w:val="20"/>
          <w:highlight w:val="yellow"/>
          <w:lang w:val="en-US"/>
        </w:rPr>
        <w:t>__________________________</w:t>
      </w:r>
      <w:r>
        <w:rPr>
          <w:rFonts w:ascii="Arial" w:hAnsi="Arial" w:cs="Arial"/>
          <w:sz w:val="20"/>
          <w:szCs w:val="20"/>
          <w:lang w:val="en-US"/>
        </w:rPr>
        <w:t>) which the Beneficiary may have already granted or will grant to the Borrower</w:t>
      </w:r>
      <w:r w:rsidR="007B2D08">
        <w:rPr>
          <w:rFonts w:ascii="Arial" w:hAnsi="Arial" w:cs="Arial"/>
          <w:sz w:val="20"/>
          <w:szCs w:val="20"/>
          <w:lang w:val="en-US"/>
        </w:rPr>
        <w:t>, the Bank hereby undertakes and guarantees to pay the Beneficiary, in accordance with clause 3 below, amount(s) due and payable, including interest thereon</w:t>
      </w:r>
      <w:r w:rsidR="00E725F8">
        <w:rPr>
          <w:rFonts w:ascii="Arial" w:hAnsi="Arial" w:cs="Arial"/>
          <w:sz w:val="20"/>
          <w:szCs w:val="20"/>
          <w:lang w:val="en-US"/>
        </w:rPr>
        <w:t xml:space="preserve"> under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the B</w:t>
      </w:r>
      <w:r w:rsidR="007B2D08">
        <w:rPr>
          <w:rFonts w:ascii="Arial" w:hAnsi="Arial" w:cs="Arial"/>
          <w:sz w:val="20"/>
          <w:szCs w:val="20"/>
          <w:lang w:val="en-US"/>
        </w:rPr>
        <w:t>ankin</w:t>
      </w:r>
      <w:r w:rsidR="004648EB">
        <w:rPr>
          <w:rFonts w:ascii="Arial" w:hAnsi="Arial" w:cs="Arial"/>
          <w:sz w:val="20"/>
          <w:szCs w:val="20"/>
          <w:lang w:val="en-US"/>
        </w:rPr>
        <w:t>g F</w:t>
      </w:r>
      <w:r w:rsidR="007B2D08">
        <w:rPr>
          <w:rFonts w:ascii="Arial" w:hAnsi="Arial" w:cs="Arial"/>
          <w:sz w:val="20"/>
          <w:szCs w:val="20"/>
          <w:lang w:val="en-US"/>
        </w:rPr>
        <w:t>acilities (calculated by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reference to the terms of the Banking F</w:t>
      </w:r>
      <w:r w:rsidR="007B2D08">
        <w:rPr>
          <w:rFonts w:ascii="Arial" w:hAnsi="Arial" w:cs="Arial"/>
          <w:sz w:val="20"/>
          <w:szCs w:val="20"/>
          <w:lang w:val="en-US"/>
        </w:rPr>
        <w:t>acilities) from date of the Complying Demand to date of payment, both days inclusive, which in the aggregate do not exceed the Guaranteed Amount following receipt of a Complying Demand.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4648EB">
        <w:rPr>
          <w:rFonts w:ascii="Arial" w:hAnsi="Arial" w:cs="Arial"/>
          <w:sz w:val="20"/>
          <w:szCs w:val="20"/>
          <w:lang w:val="en-US"/>
        </w:rPr>
        <w:t>Borrower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4648EB">
        <w:rPr>
          <w:rFonts w:ascii="Arial" w:hAnsi="Arial" w:cs="Arial"/>
          <w:sz w:val="20"/>
          <w:szCs w:val="20"/>
          <w:lang w:val="en-US"/>
        </w:rPr>
        <w:t>Banking Facilities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D54B42" w:rsidP="00FB0EC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>of a Complying Demand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F74F3" w:rsidRDefault="008F74F3" w:rsidP="008F74F3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Pr="008F74F3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74F3">
        <w:rPr>
          <w:rFonts w:ascii="Arial" w:hAnsi="Arial" w:cs="Arial"/>
          <w:sz w:val="20"/>
          <w:szCs w:val="20"/>
          <w:lang w:val="en-US"/>
        </w:rPr>
        <w:lastRenderedPageBreak/>
        <w:t xml:space="preserve">the validity </w:t>
      </w:r>
      <w:r w:rsidR="00447F27" w:rsidRPr="008F74F3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8F74F3">
        <w:rPr>
          <w:rFonts w:ascii="Arial" w:hAnsi="Arial" w:cs="Arial"/>
          <w:sz w:val="20"/>
          <w:szCs w:val="20"/>
          <w:lang w:val="en-US"/>
        </w:rPr>
        <w:t>of the</w:t>
      </w:r>
      <w:r w:rsidR="00447F27" w:rsidRPr="008F74F3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8F74F3">
        <w:rPr>
          <w:rFonts w:ascii="Arial" w:hAnsi="Arial" w:cs="Arial"/>
          <w:sz w:val="20"/>
          <w:szCs w:val="20"/>
          <w:lang w:val="en-US"/>
        </w:rPr>
        <w:t>D</w:t>
      </w:r>
      <w:r w:rsidRPr="008F74F3">
        <w:rPr>
          <w:rFonts w:ascii="Arial" w:hAnsi="Arial" w:cs="Arial"/>
          <w:sz w:val="20"/>
          <w:szCs w:val="20"/>
          <w:lang w:val="en-US"/>
        </w:rPr>
        <w:t>emand</w:t>
      </w:r>
      <w:r w:rsidR="00380F37" w:rsidRPr="008F74F3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8F74F3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Pr="008F74F3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74F3">
        <w:rPr>
          <w:rFonts w:ascii="Arial" w:hAnsi="Arial" w:cs="Arial"/>
          <w:sz w:val="20"/>
          <w:szCs w:val="20"/>
          <w:lang w:val="en-US"/>
        </w:rPr>
        <w:t xml:space="preserve">the </w:t>
      </w:r>
      <w:r w:rsidR="004648EB" w:rsidRPr="008F74F3">
        <w:rPr>
          <w:rFonts w:ascii="Arial" w:hAnsi="Arial" w:cs="Arial"/>
          <w:sz w:val="20"/>
          <w:szCs w:val="20"/>
          <w:lang w:val="en-US"/>
        </w:rPr>
        <w:t>Borrower</w:t>
      </w:r>
      <w:r w:rsidRPr="008F74F3">
        <w:rPr>
          <w:rFonts w:ascii="Arial" w:hAnsi="Arial" w:cs="Arial"/>
          <w:sz w:val="20"/>
          <w:szCs w:val="20"/>
          <w:lang w:val="en-US"/>
        </w:rPr>
        <w:t>’s</w:t>
      </w:r>
      <w:r w:rsidR="00380F37" w:rsidRPr="008F74F3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8F74F3">
        <w:rPr>
          <w:rFonts w:ascii="Arial" w:hAnsi="Arial" w:cs="Arial"/>
          <w:sz w:val="20"/>
          <w:szCs w:val="20"/>
          <w:lang w:val="en-US"/>
        </w:rPr>
        <w:t>;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8F74F3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F74F3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8F74F3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Pr="00FB0EC7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and clause 8</w:t>
      </w:r>
      <w:r w:rsidR="00ED4FD8">
        <w:rPr>
          <w:rFonts w:ascii="Arial" w:hAnsi="Arial" w:cs="Arial"/>
          <w:sz w:val="20"/>
          <w:szCs w:val="20"/>
          <w:lang w:val="en-US"/>
        </w:rPr>
        <w:t>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4648EB">
        <w:rPr>
          <w:rFonts w:ascii="Arial" w:hAnsi="Arial" w:cs="Arial"/>
          <w:sz w:val="20"/>
          <w:szCs w:val="20"/>
          <w:lang w:val="en-US"/>
        </w:rPr>
        <w:t>Borrower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and the </w:t>
      </w:r>
      <w:r w:rsidR="00A4096D" w:rsidRPr="00FB0EC7">
        <w:rPr>
          <w:rFonts w:ascii="Arial" w:hAnsi="Arial" w:cs="Arial"/>
          <w:sz w:val="20"/>
          <w:szCs w:val="20"/>
          <w:lang w:val="en-US"/>
        </w:rPr>
        <w:t>Bank.</w:t>
      </w:r>
    </w:p>
    <w:p w:rsidR="00643EF2" w:rsidRPr="00FB0EC7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FB0EC7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B0EC7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Pr="00FB0EC7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B0EC7">
        <w:rPr>
          <w:rFonts w:ascii="Arial" w:hAnsi="Arial" w:cs="Arial"/>
          <w:sz w:val="20"/>
          <w:szCs w:val="20"/>
          <w:lang w:val="en-US"/>
        </w:rPr>
        <w:t>this Guarantee will expire, whether surrendered to the Bank for cancellation or not, at 14h00 (</w:t>
      </w:r>
      <w:r w:rsidR="00FB0EC7" w:rsidRPr="00FB0EC7">
        <w:rPr>
          <w:rFonts w:ascii="Arial" w:hAnsi="Arial" w:cs="Arial"/>
          <w:sz w:val="20"/>
          <w:szCs w:val="20"/>
          <w:lang w:val="en-US"/>
        </w:rPr>
        <w:t xml:space="preserve">South African </w:t>
      </w:r>
      <w:r w:rsidRPr="00FB0EC7">
        <w:rPr>
          <w:rFonts w:ascii="Arial" w:hAnsi="Arial" w:cs="Arial"/>
          <w:sz w:val="20"/>
          <w:szCs w:val="20"/>
          <w:lang w:val="en-US"/>
        </w:rPr>
        <w:t>time) on the Expiry Date or on payment of the Guaranteed Amount in full, whichever occurs first,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</w:t>
      </w:r>
      <w:r w:rsidR="004648EB">
        <w:rPr>
          <w:rFonts w:ascii="Arial" w:hAnsi="Arial" w:cs="Arial"/>
          <w:sz w:val="20"/>
          <w:szCs w:val="20"/>
          <w:lang w:val="en-US"/>
        </w:rPr>
        <w:t>he Beneficiary and the Borrower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4648EB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Borrower</w:t>
      </w:r>
      <w:r w:rsidR="00643EF2">
        <w:rPr>
          <w:rFonts w:ascii="Arial" w:hAnsi="Arial" w:cs="Arial"/>
          <w:sz w:val="20"/>
          <w:szCs w:val="20"/>
          <w:lang w:val="en-US"/>
        </w:rPr>
        <w:t xml:space="preserve"> shall have sole responsibility to deliver the original of this Guarantee</w:t>
      </w:r>
      <w:r w:rsidR="00AD14A8">
        <w:rPr>
          <w:rFonts w:ascii="Arial" w:hAnsi="Arial" w:cs="Arial"/>
          <w:sz w:val="20"/>
          <w:szCs w:val="20"/>
          <w:lang w:val="en-US"/>
        </w:rPr>
        <w:t xml:space="preserve"> (where available)</w:t>
      </w:r>
      <w:r w:rsidR="00643EF2"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5858A6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451D48" w:rsidRPr="00D7628B" w:rsidSect="007B34C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1F678A1"/>
    <w:multiLevelType w:val="multilevel"/>
    <w:tmpl w:val="3B84A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C16C5"/>
    <w:rsid w:val="001C17A2"/>
    <w:rsid w:val="001C33EE"/>
    <w:rsid w:val="001D0178"/>
    <w:rsid w:val="001D75D5"/>
    <w:rsid w:val="001D7DFF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648EB"/>
    <w:rsid w:val="00477AEF"/>
    <w:rsid w:val="00495AE5"/>
    <w:rsid w:val="004A1EED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052E5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2D08"/>
    <w:rsid w:val="007B34C6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6472C"/>
    <w:rsid w:val="008705A9"/>
    <w:rsid w:val="008802B6"/>
    <w:rsid w:val="00890AFF"/>
    <w:rsid w:val="0089193A"/>
    <w:rsid w:val="008A31F5"/>
    <w:rsid w:val="008C0AC2"/>
    <w:rsid w:val="008E68A4"/>
    <w:rsid w:val="008F01B0"/>
    <w:rsid w:val="008F6977"/>
    <w:rsid w:val="008F74F3"/>
    <w:rsid w:val="0091549C"/>
    <w:rsid w:val="0092539B"/>
    <w:rsid w:val="0093281B"/>
    <w:rsid w:val="00937212"/>
    <w:rsid w:val="00943C07"/>
    <w:rsid w:val="00944F0E"/>
    <w:rsid w:val="00945E75"/>
    <w:rsid w:val="00947814"/>
    <w:rsid w:val="009702CF"/>
    <w:rsid w:val="0097072D"/>
    <w:rsid w:val="00981061"/>
    <w:rsid w:val="009A0088"/>
    <w:rsid w:val="009A07E5"/>
    <w:rsid w:val="009D528E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14A8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C219F0"/>
    <w:rsid w:val="00C27598"/>
    <w:rsid w:val="00C27D5F"/>
    <w:rsid w:val="00C50AEE"/>
    <w:rsid w:val="00C6481F"/>
    <w:rsid w:val="00C65A24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5B90"/>
    <w:rsid w:val="00DF65FA"/>
    <w:rsid w:val="00E00B9E"/>
    <w:rsid w:val="00E2581C"/>
    <w:rsid w:val="00E2600E"/>
    <w:rsid w:val="00E35138"/>
    <w:rsid w:val="00E37AAD"/>
    <w:rsid w:val="00E725F8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62A4E"/>
    <w:rsid w:val="00F702F8"/>
    <w:rsid w:val="00F73E3B"/>
    <w:rsid w:val="00FA262B"/>
    <w:rsid w:val="00FA35A7"/>
    <w:rsid w:val="00FA5B94"/>
    <w:rsid w:val="00FB0EC7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AAC4D"/>
  <w15:docId w15:val="{D532DD5B-4CD3-4E8A-BA54-CCA2501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8EFB-75E4-4A4A-B124-DEC94967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Ngxabazi, Yolisa Y</dc:creator>
  <cp:lastModifiedBy>Govender, Kershni K</cp:lastModifiedBy>
  <cp:revision>4</cp:revision>
  <cp:lastPrinted>2014-11-27T12:06:00Z</cp:lastPrinted>
  <dcterms:created xsi:type="dcterms:W3CDTF">2019-07-09T10:59:00Z</dcterms:created>
  <dcterms:modified xsi:type="dcterms:W3CDTF">2019-07-09T12:55:00Z</dcterms:modified>
</cp:coreProperties>
</file>